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417A3" w14:textId="77777777" w:rsidR="0022605B" w:rsidRDefault="0022605B" w:rsidP="0022605B">
      <w:pPr>
        <w:jc w:val="center"/>
        <w:rPr>
          <w:b/>
          <w:bCs/>
          <w:sz w:val="26"/>
          <w:szCs w:val="26"/>
        </w:rPr>
      </w:pPr>
      <w:r w:rsidRPr="0022605B">
        <w:rPr>
          <w:b/>
          <w:bCs/>
          <w:sz w:val="26"/>
          <w:szCs w:val="26"/>
        </w:rPr>
        <w:t>Integration of WHO building blocks with the Two Pillar of Reform:</w:t>
      </w:r>
    </w:p>
    <w:p w14:paraId="3A8AFCF8" w14:textId="4DCB0823" w:rsidR="0022605B" w:rsidRPr="0022605B" w:rsidRDefault="0022605B" w:rsidP="0022605B">
      <w:pPr>
        <w:jc w:val="both"/>
      </w:pPr>
      <w:r w:rsidRPr="0022605B">
        <w:rPr>
          <w:b/>
          <w:bCs/>
          <w:sz w:val="26"/>
          <w:szCs w:val="26"/>
        </w:rPr>
        <w:br/>
      </w:r>
      <w:r>
        <w:br/>
        <w:t>T</w:t>
      </w:r>
      <w:r w:rsidRPr="0022605B">
        <w:t>o achieve a cohesive health system, the remaining four WHO health system building blocks—</w:t>
      </w:r>
      <w:r w:rsidRPr="0022605B">
        <w:rPr>
          <w:b/>
          <w:bCs/>
        </w:rPr>
        <w:t>Health Workforce</w:t>
      </w:r>
      <w:r w:rsidRPr="0022605B">
        <w:t xml:space="preserve">, </w:t>
      </w:r>
      <w:r w:rsidRPr="0022605B">
        <w:rPr>
          <w:b/>
          <w:bCs/>
        </w:rPr>
        <w:t>Health Information Systems (HIS)</w:t>
      </w:r>
      <w:r w:rsidRPr="0022605B">
        <w:t xml:space="preserve">, </w:t>
      </w:r>
      <w:r w:rsidRPr="0022605B">
        <w:rPr>
          <w:b/>
          <w:bCs/>
        </w:rPr>
        <w:t>Access to Essential Medicines</w:t>
      </w:r>
      <w:r w:rsidRPr="0022605B">
        <w:t xml:space="preserve">, and </w:t>
      </w:r>
      <w:r w:rsidRPr="0022605B">
        <w:rPr>
          <w:b/>
          <w:bCs/>
        </w:rPr>
        <w:t>Leadership &amp; Governance</w:t>
      </w:r>
      <w:r w:rsidRPr="0022605B">
        <w:t xml:space="preserve">—need to be effectively integrated with the </w:t>
      </w:r>
      <w:r w:rsidRPr="0022605B">
        <w:rPr>
          <w:b/>
          <w:bCs/>
        </w:rPr>
        <w:t>Service Delivery</w:t>
      </w:r>
      <w:r w:rsidRPr="0022605B">
        <w:t xml:space="preserve"> (GP system) and </w:t>
      </w:r>
      <w:r w:rsidRPr="0022605B">
        <w:rPr>
          <w:b/>
          <w:bCs/>
        </w:rPr>
        <w:t>Financial Mechanism</w:t>
      </w:r>
      <w:r w:rsidRPr="0022605B">
        <w:t xml:space="preserve"> (SHI) blocks. Here’s how each block can support and strengthen the GP and SHI systems:</w:t>
      </w:r>
    </w:p>
    <w:p w14:paraId="0117818D" w14:textId="77777777" w:rsidR="0022605B" w:rsidRPr="0022605B" w:rsidRDefault="0022605B" w:rsidP="0022605B">
      <w:pPr>
        <w:rPr>
          <w:b/>
          <w:bCs/>
        </w:rPr>
      </w:pPr>
      <w:r w:rsidRPr="0022605B">
        <w:rPr>
          <w:b/>
          <w:bCs/>
        </w:rPr>
        <w:t>1. Health Workforce</w:t>
      </w:r>
    </w:p>
    <w:p w14:paraId="7DD1AE53" w14:textId="77777777" w:rsidR="0022605B" w:rsidRPr="0022605B" w:rsidRDefault="0022605B" w:rsidP="0022605B">
      <w:pPr>
        <w:numPr>
          <w:ilvl w:val="0"/>
          <w:numId w:val="1"/>
        </w:numPr>
      </w:pPr>
      <w:r w:rsidRPr="0022605B">
        <w:rPr>
          <w:b/>
          <w:bCs/>
        </w:rPr>
        <w:t>Alignment with GP System</w:t>
      </w:r>
      <w:r w:rsidRPr="0022605B">
        <w:t>:</w:t>
      </w:r>
    </w:p>
    <w:p w14:paraId="70199784" w14:textId="77777777" w:rsidR="0022605B" w:rsidRPr="0022605B" w:rsidRDefault="0022605B" w:rsidP="0022605B">
      <w:pPr>
        <w:numPr>
          <w:ilvl w:val="1"/>
          <w:numId w:val="1"/>
        </w:numPr>
      </w:pPr>
      <w:r w:rsidRPr="0022605B">
        <w:t>The health workforce block ensures that adequately trained GPs, nurses, and allied health professionals are available at primary care facilities. Building the capacity of the workforce in primary care strengthens the GP system, ensuring accessible and quality care at the first point of contact.</w:t>
      </w:r>
    </w:p>
    <w:p w14:paraId="20D6A7F4" w14:textId="77777777" w:rsidR="0022605B" w:rsidRPr="0022605B" w:rsidRDefault="0022605B" w:rsidP="0022605B">
      <w:pPr>
        <w:numPr>
          <w:ilvl w:val="1"/>
          <w:numId w:val="1"/>
        </w:numPr>
      </w:pPr>
      <w:r w:rsidRPr="0022605B">
        <w:t>Workforce training for GPs can also cover SHI protocols, such as patient eligibility verification and referral pathways, enabling GPs to guide patients through both clinical and financial aspects of care.</w:t>
      </w:r>
    </w:p>
    <w:p w14:paraId="65F5FF00" w14:textId="77777777" w:rsidR="0022605B" w:rsidRPr="0022605B" w:rsidRDefault="0022605B" w:rsidP="0022605B">
      <w:pPr>
        <w:numPr>
          <w:ilvl w:val="0"/>
          <w:numId w:val="1"/>
        </w:numPr>
      </w:pPr>
      <w:r w:rsidRPr="0022605B">
        <w:rPr>
          <w:b/>
          <w:bCs/>
        </w:rPr>
        <w:t>Integration with SHI</w:t>
      </w:r>
      <w:r w:rsidRPr="0022605B">
        <w:t>:</w:t>
      </w:r>
    </w:p>
    <w:p w14:paraId="29448828" w14:textId="77777777" w:rsidR="0022605B" w:rsidRPr="0022605B" w:rsidRDefault="0022605B" w:rsidP="0022605B">
      <w:pPr>
        <w:numPr>
          <w:ilvl w:val="1"/>
          <w:numId w:val="1"/>
        </w:numPr>
      </w:pPr>
      <w:r w:rsidRPr="0022605B">
        <w:t>SHI can allocate funds for continuous training and professional development of healthcare providers. This financial support enables quality improvement for GPs and other healthcare staff, helping them deliver services more effectively.</w:t>
      </w:r>
    </w:p>
    <w:p w14:paraId="45282240" w14:textId="77777777" w:rsidR="0022605B" w:rsidRPr="0022605B" w:rsidRDefault="0022605B" w:rsidP="0022605B">
      <w:pPr>
        <w:numPr>
          <w:ilvl w:val="1"/>
          <w:numId w:val="1"/>
        </w:numPr>
      </w:pPr>
      <w:r w:rsidRPr="0022605B">
        <w:t>SHI can also fund incentives to attract and retain healthcare providers in underserved areas, ensuring the workforce is equitably distributed.</w:t>
      </w:r>
    </w:p>
    <w:p w14:paraId="2FB6C22D" w14:textId="77777777" w:rsidR="0022605B" w:rsidRPr="0022605B" w:rsidRDefault="0022605B" w:rsidP="0022605B">
      <w:pPr>
        <w:rPr>
          <w:b/>
          <w:bCs/>
        </w:rPr>
      </w:pPr>
      <w:r w:rsidRPr="0022605B">
        <w:rPr>
          <w:b/>
          <w:bCs/>
        </w:rPr>
        <w:t>2. Health Information Systems (HIS)</w:t>
      </w:r>
    </w:p>
    <w:p w14:paraId="1143F26C" w14:textId="77777777" w:rsidR="0022605B" w:rsidRPr="0022605B" w:rsidRDefault="0022605B" w:rsidP="0022605B">
      <w:pPr>
        <w:numPr>
          <w:ilvl w:val="0"/>
          <w:numId w:val="2"/>
        </w:numPr>
      </w:pPr>
      <w:r w:rsidRPr="0022605B">
        <w:rPr>
          <w:b/>
          <w:bCs/>
        </w:rPr>
        <w:t>Alignment with GP System</w:t>
      </w:r>
      <w:r w:rsidRPr="0022605B">
        <w:t>:</w:t>
      </w:r>
    </w:p>
    <w:p w14:paraId="76B7C3F1" w14:textId="77777777" w:rsidR="0022605B" w:rsidRPr="0022605B" w:rsidRDefault="0022605B" w:rsidP="0022605B">
      <w:pPr>
        <w:numPr>
          <w:ilvl w:val="1"/>
          <w:numId w:val="2"/>
        </w:numPr>
      </w:pPr>
      <w:r w:rsidRPr="0022605B">
        <w:t>HIS provides GPs with patient health records and other clinical data, improving continuity of care and allowing for more informed decision-making. A robust HIS enables efficient tracking of patient care from the GP level to referrals, promoting seamless service delivery.</w:t>
      </w:r>
    </w:p>
    <w:p w14:paraId="02E4E2ED" w14:textId="77777777" w:rsidR="0022605B" w:rsidRPr="0022605B" w:rsidRDefault="0022605B" w:rsidP="0022605B">
      <w:pPr>
        <w:numPr>
          <w:ilvl w:val="1"/>
          <w:numId w:val="2"/>
        </w:numPr>
      </w:pPr>
      <w:r w:rsidRPr="0022605B">
        <w:t>With real-time data on patient visits, referrals, and treatments, HIS strengthens the GP’s role in patient management and tracking.</w:t>
      </w:r>
    </w:p>
    <w:p w14:paraId="21E240A4" w14:textId="77777777" w:rsidR="0022605B" w:rsidRPr="0022605B" w:rsidRDefault="0022605B" w:rsidP="0022605B">
      <w:pPr>
        <w:numPr>
          <w:ilvl w:val="0"/>
          <w:numId w:val="2"/>
        </w:numPr>
      </w:pPr>
      <w:r w:rsidRPr="0022605B">
        <w:rPr>
          <w:b/>
          <w:bCs/>
        </w:rPr>
        <w:t>Integration with SHI</w:t>
      </w:r>
      <w:r w:rsidRPr="0022605B">
        <w:t>:</w:t>
      </w:r>
    </w:p>
    <w:p w14:paraId="7FD6A34D" w14:textId="77777777" w:rsidR="0022605B" w:rsidRPr="0022605B" w:rsidRDefault="0022605B" w:rsidP="0022605B">
      <w:pPr>
        <w:numPr>
          <w:ilvl w:val="1"/>
          <w:numId w:val="2"/>
        </w:numPr>
      </w:pPr>
      <w:r w:rsidRPr="0022605B">
        <w:t>HIS can manage claims processing, track service usage, and monitor fund allocation under SHI, ensuring transparency and accountability in healthcare financing.</w:t>
      </w:r>
    </w:p>
    <w:p w14:paraId="6843BC01" w14:textId="77777777" w:rsidR="0022605B" w:rsidRPr="0022605B" w:rsidRDefault="0022605B" w:rsidP="0022605B">
      <w:pPr>
        <w:numPr>
          <w:ilvl w:val="1"/>
          <w:numId w:val="2"/>
        </w:numPr>
      </w:pPr>
      <w:r w:rsidRPr="0022605B">
        <w:t>HIS supports data-driven decision-making, allowing for adjustments in SHI coverage and benefits based on usage patterns, cost trends, and patient needs.</w:t>
      </w:r>
    </w:p>
    <w:p w14:paraId="09905619" w14:textId="77777777" w:rsidR="0022605B" w:rsidRPr="0022605B" w:rsidRDefault="0022605B" w:rsidP="0022605B">
      <w:pPr>
        <w:rPr>
          <w:b/>
          <w:bCs/>
        </w:rPr>
      </w:pPr>
      <w:r w:rsidRPr="0022605B">
        <w:rPr>
          <w:b/>
          <w:bCs/>
        </w:rPr>
        <w:lastRenderedPageBreak/>
        <w:t>3. Access to Essential Medicines</w:t>
      </w:r>
    </w:p>
    <w:p w14:paraId="0143A77F" w14:textId="77777777" w:rsidR="0022605B" w:rsidRPr="0022605B" w:rsidRDefault="0022605B" w:rsidP="0022605B">
      <w:pPr>
        <w:numPr>
          <w:ilvl w:val="0"/>
          <w:numId w:val="3"/>
        </w:numPr>
      </w:pPr>
      <w:r w:rsidRPr="0022605B">
        <w:rPr>
          <w:b/>
          <w:bCs/>
        </w:rPr>
        <w:t>Alignment with GP System</w:t>
      </w:r>
      <w:r w:rsidRPr="0022605B">
        <w:t>:</w:t>
      </w:r>
    </w:p>
    <w:p w14:paraId="1B7D5F46" w14:textId="77777777" w:rsidR="0022605B" w:rsidRPr="0022605B" w:rsidRDefault="0022605B" w:rsidP="0022605B">
      <w:pPr>
        <w:numPr>
          <w:ilvl w:val="1"/>
          <w:numId w:val="3"/>
        </w:numPr>
      </w:pPr>
      <w:r w:rsidRPr="0022605B">
        <w:t>Ensuring that essential medicines are available at the GP level enhances the effectiveness of the GP system as a primary care provider. Patients can receive timely treatment and medication without needing to visit higher-level facilities.</w:t>
      </w:r>
    </w:p>
    <w:p w14:paraId="33BCB362" w14:textId="77777777" w:rsidR="0022605B" w:rsidRPr="0022605B" w:rsidRDefault="0022605B" w:rsidP="0022605B">
      <w:pPr>
        <w:numPr>
          <w:ilvl w:val="1"/>
          <w:numId w:val="3"/>
        </w:numPr>
      </w:pPr>
      <w:r w:rsidRPr="0022605B">
        <w:t>Consistent supply of medicines at the GP level reduces the need for patients to seek secondary care for basic health needs, keeping the care pathway efficient and accessible.</w:t>
      </w:r>
    </w:p>
    <w:p w14:paraId="693A895C" w14:textId="77777777" w:rsidR="0022605B" w:rsidRPr="0022605B" w:rsidRDefault="0022605B" w:rsidP="0022605B">
      <w:pPr>
        <w:numPr>
          <w:ilvl w:val="0"/>
          <w:numId w:val="3"/>
        </w:numPr>
      </w:pPr>
      <w:r w:rsidRPr="0022605B">
        <w:rPr>
          <w:b/>
          <w:bCs/>
        </w:rPr>
        <w:t>Integration with SHI</w:t>
      </w:r>
      <w:r w:rsidRPr="0022605B">
        <w:t>:</w:t>
      </w:r>
    </w:p>
    <w:p w14:paraId="05B46CF3" w14:textId="77777777" w:rsidR="0022605B" w:rsidRPr="0022605B" w:rsidRDefault="0022605B" w:rsidP="0022605B">
      <w:pPr>
        <w:numPr>
          <w:ilvl w:val="1"/>
          <w:numId w:val="3"/>
        </w:numPr>
      </w:pPr>
      <w:r w:rsidRPr="0022605B">
        <w:t>SHI can cover the cost of essential medicines, reducing out-of-pocket expenses for patients and ensuring that medications are affordable.</w:t>
      </w:r>
    </w:p>
    <w:p w14:paraId="75C44BE3" w14:textId="77777777" w:rsidR="0022605B" w:rsidRPr="0022605B" w:rsidRDefault="0022605B" w:rsidP="0022605B">
      <w:pPr>
        <w:numPr>
          <w:ilvl w:val="1"/>
          <w:numId w:val="3"/>
        </w:numPr>
      </w:pPr>
      <w:r w:rsidRPr="0022605B">
        <w:t>SHI can also fund and regulate the procurement and distribution of essential medicines, improving the reliability of drug supplies and preventing stockouts at primary care facilities.</w:t>
      </w:r>
    </w:p>
    <w:p w14:paraId="06A04AB7" w14:textId="77777777" w:rsidR="0022605B" w:rsidRPr="0022605B" w:rsidRDefault="0022605B" w:rsidP="0022605B">
      <w:pPr>
        <w:rPr>
          <w:b/>
          <w:bCs/>
        </w:rPr>
      </w:pPr>
      <w:r w:rsidRPr="0022605B">
        <w:rPr>
          <w:b/>
          <w:bCs/>
        </w:rPr>
        <w:t>4. Leadership &amp; Governance</w:t>
      </w:r>
    </w:p>
    <w:p w14:paraId="4E5EFCB6" w14:textId="77777777" w:rsidR="0022605B" w:rsidRPr="0022605B" w:rsidRDefault="0022605B" w:rsidP="0022605B">
      <w:pPr>
        <w:numPr>
          <w:ilvl w:val="0"/>
          <w:numId w:val="4"/>
        </w:numPr>
      </w:pPr>
      <w:r w:rsidRPr="0022605B">
        <w:rPr>
          <w:b/>
          <w:bCs/>
        </w:rPr>
        <w:t>Alignment with GP System</w:t>
      </w:r>
      <w:r w:rsidRPr="0022605B">
        <w:t>:</w:t>
      </w:r>
    </w:p>
    <w:p w14:paraId="2D11AEBB" w14:textId="77777777" w:rsidR="0022605B" w:rsidRPr="0022605B" w:rsidRDefault="0022605B" w:rsidP="0022605B">
      <w:pPr>
        <w:numPr>
          <w:ilvl w:val="1"/>
          <w:numId w:val="4"/>
        </w:numPr>
      </w:pPr>
      <w:r w:rsidRPr="0022605B">
        <w:t>Strong governance structures are necessary to oversee the organization and performance of GPs, ensuring that they adhere to standards of care and effectively manage patient referrals. Governance establishes the GP system’s role within the broader health system and ensures that it functions efficiently.</w:t>
      </w:r>
    </w:p>
    <w:p w14:paraId="1A6902E5" w14:textId="77777777" w:rsidR="0022605B" w:rsidRPr="0022605B" w:rsidRDefault="0022605B" w:rsidP="0022605B">
      <w:pPr>
        <w:numPr>
          <w:ilvl w:val="1"/>
          <w:numId w:val="4"/>
        </w:numPr>
      </w:pPr>
      <w:r w:rsidRPr="0022605B">
        <w:t>Leadership is essential to establish clear referral pathways from GPs to secondary and tertiary services, creating an integrated service delivery network.</w:t>
      </w:r>
    </w:p>
    <w:p w14:paraId="49A0BF31" w14:textId="77777777" w:rsidR="0022605B" w:rsidRPr="0022605B" w:rsidRDefault="0022605B" w:rsidP="0022605B">
      <w:pPr>
        <w:numPr>
          <w:ilvl w:val="0"/>
          <w:numId w:val="4"/>
        </w:numPr>
      </w:pPr>
      <w:r w:rsidRPr="0022605B">
        <w:rPr>
          <w:b/>
          <w:bCs/>
        </w:rPr>
        <w:t>Integration with SHI</w:t>
      </w:r>
      <w:r w:rsidRPr="0022605B">
        <w:t>:</w:t>
      </w:r>
    </w:p>
    <w:p w14:paraId="36D396E3" w14:textId="77777777" w:rsidR="0022605B" w:rsidRPr="0022605B" w:rsidRDefault="0022605B" w:rsidP="0022605B">
      <w:pPr>
        <w:numPr>
          <w:ilvl w:val="1"/>
          <w:numId w:val="4"/>
        </w:numPr>
      </w:pPr>
      <w:r w:rsidRPr="0022605B">
        <w:t>Effective governance oversees the SHI system, ensuring transparent fund management, accountability, and regulatory compliance. This builds public trust and encourages enrollment in SHI.</w:t>
      </w:r>
    </w:p>
    <w:p w14:paraId="6E50655E" w14:textId="77777777" w:rsidR="0022605B" w:rsidRPr="0022605B" w:rsidRDefault="0022605B" w:rsidP="0022605B">
      <w:pPr>
        <w:numPr>
          <w:ilvl w:val="1"/>
          <w:numId w:val="4"/>
        </w:numPr>
      </w:pPr>
      <w:r w:rsidRPr="0022605B">
        <w:t>Governance also plays a critical role in setting standards for SHI coverage, monitoring outcomes, and aligning the financial mechanism with UHC objectives, creating a sustainable and equitable healthcare financing model.</w:t>
      </w:r>
    </w:p>
    <w:p w14:paraId="7CE4ADD8" w14:textId="3C1B2F4E" w:rsidR="0022605B" w:rsidRPr="0022605B" w:rsidRDefault="0022605B" w:rsidP="0022605B">
      <w:pPr>
        <w:rPr>
          <w:b/>
          <w:bCs/>
        </w:rPr>
      </w:pPr>
      <w:r>
        <w:rPr>
          <w:b/>
          <w:bCs/>
        </w:rPr>
        <w:t>5.</w:t>
      </w:r>
      <w:r w:rsidRPr="0022605B">
        <w:rPr>
          <w:b/>
          <w:bCs/>
        </w:rPr>
        <w:t xml:space="preserve"> Clinical Services Integration</w:t>
      </w:r>
    </w:p>
    <w:p w14:paraId="6BEE28E8" w14:textId="77777777" w:rsidR="0022605B" w:rsidRPr="0022605B" w:rsidRDefault="0022605B" w:rsidP="0022605B">
      <w:pPr>
        <w:numPr>
          <w:ilvl w:val="0"/>
          <w:numId w:val="6"/>
        </w:numPr>
      </w:pPr>
      <w:r w:rsidRPr="0022605B">
        <w:rPr>
          <w:b/>
          <w:bCs/>
        </w:rPr>
        <w:t>Within the GP System</w:t>
      </w:r>
      <w:r w:rsidRPr="0022605B">
        <w:t>:</w:t>
      </w:r>
    </w:p>
    <w:p w14:paraId="2AA44CC9" w14:textId="77777777" w:rsidR="0022605B" w:rsidRPr="0022605B" w:rsidRDefault="0022605B" w:rsidP="0022605B">
      <w:pPr>
        <w:numPr>
          <w:ilvl w:val="1"/>
          <w:numId w:val="6"/>
        </w:numPr>
      </w:pPr>
      <w:r w:rsidRPr="0022605B">
        <w:t>The GP system will serve as the foundation of clinical services, focusing on primary care, prevention, early diagnosis, and management of common health conditions. It will include:</w:t>
      </w:r>
    </w:p>
    <w:p w14:paraId="7C228246" w14:textId="77777777" w:rsidR="0022605B" w:rsidRPr="0022605B" w:rsidRDefault="0022605B" w:rsidP="0022605B">
      <w:pPr>
        <w:numPr>
          <w:ilvl w:val="2"/>
          <w:numId w:val="6"/>
        </w:numPr>
      </w:pPr>
      <w:r w:rsidRPr="0022605B">
        <w:rPr>
          <w:b/>
          <w:bCs/>
        </w:rPr>
        <w:t>Standardized Clinical Protocols</w:t>
      </w:r>
      <w:r w:rsidRPr="0022605B">
        <w:t>: Implement evidence-based clinical protocols for GPs to follow, ensuring that patients receive uniform, high-quality care.</w:t>
      </w:r>
    </w:p>
    <w:p w14:paraId="52ECADAA" w14:textId="77777777" w:rsidR="0022605B" w:rsidRPr="0022605B" w:rsidRDefault="0022605B" w:rsidP="0022605B">
      <w:pPr>
        <w:numPr>
          <w:ilvl w:val="2"/>
          <w:numId w:val="6"/>
        </w:numPr>
      </w:pPr>
      <w:r w:rsidRPr="0022605B">
        <w:rPr>
          <w:b/>
          <w:bCs/>
        </w:rPr>
        <w:lastRenderedPageBreak/>
        <w:t>Referral System for Specialized Care</w:t>
      </w:r>
      <w:r w:rsidRPr="0022605B">
        <w:t>: Establish clear referral pathways from GPs to secondary and tertiary levels for specialized services. This allows GPs to act as gatekeepers, managing patient flow to higher levels of care only when necessary.</w:t>
      </w:r>
    </w:p>
    <w:p w14:paraId="5CCF44DF" w14:textId="77777777" w:rsidR="0022605B" w:rsidRPr="0022605B" w:rsidRDefault="0022605B" w:rsidP="0022605B">
      <w:pPr>
        <w:numPr>
          <w:ilvl w:val="1"/>
          <w:numId w:val="6"/>
        </w:numPr>
      </w:pPr>
      <w:r w:rsidRPr="0022605B">
        <w:rPr>
          <w:b/>
          <w:bCs/>
        </w:rPr>
        <w:t>Role in Care Coordination</w:t>
      </w:r>
      <w:r w:rsidRPr="0022605B">
        <w:t>: The GP system will coordinate patients’ care throughout the healthcare journey, ensuring that clinical services are provided at the appropriate level, whether it’s for preventive care, chronic disease management, or referrals for specialized treatments.</w:t>
      </w:r>
    </w:p>
    <w:p w14:paraId="1692115B" w14:textId="77777777" w:rsidR="0022605B" w:rsidRPr="0022605B" w:rsidRDefault="0022605B" w:rsidP="0022605B">
      <w:pPr>
        <w:numPr>
          <w:ilvl w:val="0"/>
          <w:numId w:val="6"/>
        </w:numPr>
      </w:pPr>
      <w:r w:rsidRPr="0022605B">
        <w:rPr>
          <w:b/>
          <w:bCs/>
        </w:rPr>
        <w:t xml:space="preserve">Financed and </w:t>
      </w:r>
      <w:proofErr w:type="gramStart"/>
      <w:r w:rsidRPr="0022605B">
        <w:rPr>
          <w:b/>
          <w:bCs/>
        </w:rPr>
        <w:t>Supported</w:t>
      </w:r>
      <w:proofErr w:type="gramEnd"/>
      <w:r w:rsidRPr="0022605B">
        <w:rPr>
          <w:b/>
          <w:bCs/>
        </w:rPr>
        <w:t xml:space="preserve"> by SHI</w:t>
      </w:r>
      <w:r w:rsidRPr="0022605B">
        <w:t>:</w:t>
      </w:r>
    </w:p>
    <w:p w14:paraId="7CB08A93" w14:textId="77777777" w:rsidR="0022605B" w:rsidRPr="0022605B" w:rsidRDefault="0022605B" w:rsidP="0022605B">
      <w:pPr>
        <w:numPr>
          <w:ilvl w:val="1"/>
          <w:numId w:val="6"/>
        </w:numPr>
      </w:pPr>
      <w:r w:rsidRPr="0022605B">
        <w:t>SHI can cover the costs of a broad range of clinical services at the GP level, including preventive, diagnostic, and treatment services, reducing the need for patients to pay out-of-pocket.</w:t>
      </w:r>
    </w:p>
    <w:p w14:paraId="1BC1244A" w14:textId="77777777" w:rsidR="0022605B" w:rsidRPr="0022605B" w:rsidRDefault="0022605B" w:rsidP="0022605B">
      <w:pPr>
        <w:numPr>
          <w:ilvl w:val="1"/>
          <w:numId w:val="6"/>
        </w:numPr>
      </w:pPr>
      <w:r w:rsidRPr="0022605B">
        <w:t>SHI can fund specific clinical services at higher levels (secondary and tertiary care) when referred by a GP, ensuring financial coverage for specialized care.</w:t>
      </w:r>
    </w:p>
    <w:p w14:paraId="5B99DA29" w14:textId="77777777" w:rsidR="0022605B" w:rsidRPr="0022605B" w:rsidRDefault="0022605B" w:rsidP="0022605B">
      <w:pPr>
        <w:numPr>
          <w:ilvl w:val="1"/>
          <w:numId w:val="6"/>
        </w:numPr>
      </w:pPr>
      <w:r w:rsidRPr="0022605B">
        <w:t>This structure incentivizes the proper use of clinical services by covering necessary care at each level, while discouraging overuse or bypassing of the primary care level.</w:t>
      </w:r>
    </w:p>
    <w:p w14:paraId="38534856" w14:textId="685FBD3B" w:rsidR="0022605B" w:rsidRPr="0022605B" w:rsidRDefault="0022605B" w:rsidP="0022605B">
      <w:pPr>
        <w:rPr>
          <w:b/>
          <w:bCs/>
        </w:rPr>
      </w:pPr>
      <w:r>
        <w:rPr>
          <w:b/>
          <w:bCs/>
        </w:rPr>
        <w:t>6</w:t>
      </w:r>
      <w:r w:rsidRPr="0022605B">
        <w:rPr>
          <w:b/>
          <w:bCs/>
        </w:rPr>
        <w:t>. Quality of Care Integration</w:t>
      </w:r>
    </w:p>
    <w:p w14:paraId="6E0AE53B" w14:textId="77777777" w:rsidR="0022605B" w:rsidRPr="0022605B" w:rsidRDefault="0022605B" w:rsidP="0022605B">
      <w:pPr>
        <w:numPr>
          <w:ilvl w:val="0"/>
          <w:numId w:val="7"/>
        </w:numPr>
      </w:pPr>
      <w:r w:rsidRPr="0022605B">
        <w:rPr>
          <w:b/>
          <w:bCs/>
        </w:rPr>
        <w:t>Within the GP System</w:t>
      </w:r>
      <w:r w:rsidRPr="0022605B">
        <w:t>:</w:t>
      </w:r>
    </w:p>
    <w:p w14:paraId="3308E80B" w14:textId="77777777" w:rsidR="0022605B" w:rsidRPr="0022605B" w:rsidRDefault="0022605B" w:rsidP="0022605B">
      <w:pPr>
        <w:numPr>
          <w:ilvl w:val="1"/>
          <w:numId w:val="7"/>
        </w:numPr>
      </w:pPr>
      <w:r w:rsidRPr="0022605B">
        <w:rPr>
          <w:b/>
          <w:bCs/>
        </w:rPr>
        <w:t>Quality Standards and Performance Monitoring</w:t>
      </w:r>
      <w:r w:rsidRPr="0022605B">
        <w:t>: Implement and monitor quality-of-care standards at the GP level to ensure that patients receive high-quality services. This includes adherence to clinical guidelines, timely and appropriate referrals, patient satisfaction, and outcomes tracking.</w:t>
      </w:r>
    </w:p>
    <w:p w14:paraId="77BABF24" w14:textId="77777777" w:rsidR="0022605B" w:rsidRPr="0022605B" w:rsidRDefault="0022605B" w:rsidP="0022605B">
      <w:pPr>
        <w:numPr>
          <w:ilvl w:val="1"/>
          <w:numId w:val="7"/>
        </w:numPr>
      </w:pPr>
      <w:r w:rsidRPr="0022605B">
        <w:rPr>
          <w:b/>
          <w:bCs/>
        </w:rPr>
        <w:t>Continuous Professional Development</w:t>
      </w:r>
      <w:r w:rsidRPr="0022605B">
        <w:t>: GPs and healthcare providers at all levels will undergo regular training on best practices, supported by SHI funding, to stay updated on new treatment protocols and quality improvement methods.</w:t>
      </w:r>
    </w:p>
    <w:p w14:paraId="5243BD6A" w14:textId="77777777" w:rsidR="0022605B" w:rsidRPr="0022605B" w:rsidRDefault="0022605B" w:rsidP="0022605B">
      <w:pPr>
        <w:numPr>
          <w:ilvl w:val="1"/>
          <w:numId w:val="7"/>
        </w:numPr>
      </w:pPr>
      <w:r w:rsidRPr="0022605B">
        <w:rPr>
          <w:b/>
          <w:bCs/>
        </w:rPr>
        <w:t>Patient-Centered Care</w:t>
      </w:r>
      <w:r w:rsidRPr="0022605B">
        <w:t>: Encourage GPs to adopt patient-centered practices, ensuring respectful communication, continuity, and responsiveness to individual patient needs.</w:t>
      </w:r>
    </w:p>
    <w:p w14:paraId="0BC676BC" w14:textId="77777777" w:rsidR="0022605B" w:rsidRPr="0022605B" w:rsidRDefault="0022605B" w:rsidP="0022605B">
      <w:pPr>
        <w:numPr>
          <w:ilvl w:val="0"/>
          <w:numId w:val="7"/>
        </w:numPr>
      </w:pPr>
      <w:r w:rsidRPr="0022605B">
        <w:rPr>
          <w:b/>
          <w:bCs/>
        </w:rPr>
        <w:t>Quality Assurance Supported by SHI</w:t>
      </w:r>
      <w:r w:rsidRPr="0022605B">
        <w:t>:</w:t>
      </w:r>
    </w:p>
    <w:p w14:paraId="57C5BB00" w14:textId="77777777" w:rsidR="0022605B" w:rsidRPr="0022605B" w:rsidRDefault="0022605B" w:rsidP="0022605B">
      <w:pPr>
        <w:numPr>
          <w:ilvl w:val="1"/>
          <w:numId w:val="7"/>
        </w:numPr>
      </w:pPr>
      <w:r w:rsidRPr="0022605B">
        <w:rPr>
          <w:b/>
          <w:bCs/>
        </w:rPr>
        <w:t>Incentives for Quality</w:t>
      </w:r>
      <w:r w:rsidRPr="0022605B">
        <w:t>: SHI can incentivize quality improvements by linking payments to quality metrics, rewarding GPs and healthcare facilities that meet or exceed standards.</w:t>
      </w:r>
    </w:p>
    <w:p w14:paraId="57A3CB63" w14:textId="77777777" w:rsidR="0022605B" w:rsidRPr="0022605B" w:rsidRDefault="0022605B" w:rsidP="0022605B">
      <w:pPr>
        <w:numPr>
          <w:ilvl w:val="1"/>
          <w:numId w:val="7"/>
        </w:numPr>
      </w:pPr>
      <w:r w:rsidRPr="0022605B">
        <w:rPr>
          <w:b/>
          <w:bCs/>
        </w:rPr>
        <w:t>Regular Audits and Accreditation</w:t>
      </w:r>
      <w:r w:rsidRPr="0022605B">
        <w:t>: SHI can fund regular audits and a quality accreditation program for healthcare facilities at all levels, ensuring compliance with national quality standards.</w:t>
      </w:r>
    </w:p>
    <w:p w14:paraId="41BE6D61" w14:textId="77777777" w:rsidR="0022605B" w:rsidRPr="0022605B" w:rsidRDefault="0022605B" w:rsidP="0022605B">
      <w:pPr>
        <w:numPr>
          <w:ilvl w:val="1"/>
          <w:numId w:val="7"/>
        </w:numPr>
      </w:pPr>
      <w:r w:rsidRPr="0022605B">
        <w:rPr>
          <w:b/>
          <w:bCs/>
        </w:rPr>
        <w:t>Investment in Infrastructure and Equipment</w:t>
      </w:r>
      <w:r w:rsidRPr="0022605B">
        <w:t>: SHI can allocate resources to upgrade equipment, infrastructure, and medical supplies necessary for maintaining high-quality care across the GP, secondary, and tertiary levels.</w:t>
      </w:r>
    </w:p>
    <w:p w14:paraId="417708F7" w14:textId="77777777" w:rsidR="0022605B" w:rsidRPr="0022605B" w:rsidRDefault="0022605B" w:rsidP="0022605B">
      <w:pPr>
        <w:rPr>
          <w:b/>
          <w:bCs/>
        </w:rPr>
      </w:pPr>
      <w:proofErr w:type="gramStart"/>
      <w:r w:rsidRPr="0022605B">
        <w:rPr>
          <w:b/>
          <w:bCs/>
        </w:rPr>
        <w:lastRenderedPageBreak/>
        <w:t>How</w:t>
      </w:r>
      <w:proofErr w:type="gramEnd"/>
      <w:r w:rsidRPr="0022605B">
        <w:rPr>
          <w:b/>
          <w:bCs/>
        </w:rPr>
        <w:t xml:space="preserve"> Clinical Services and Quality of Care Support the Whole System</w:t>
      </w:r>
    </w:p>
    <w:p w14:paraId="0E9FC6B2" w14:textId="77777777" w:rsidR="0022605B" w:rsidRPr="0022605B" w:rsidRDefault="0022605B" w:rsidP="0022605B">
      <w:pPr>
        <w:numPr>
          <w:ilvl w:val="0"/>
          <w:numId w:val="8"/>
        </w:numPr>
      </w:pPr>
      <w:r w:rsidRPr="0022605B">
        <w:rPr>
          <w:b/>
          <w:bCs/>
        </w:rPr>
        <w:t>At the GP Level</w:t>
      </w:r>
      <w:r w:rsidRPr="0022605B">
        <w:t>: Clinical services and quality standards ensure that patients receive consistent, primary-level care that addresses their needs at the first point of contact, reducing the need for unnecessary higher-level care.</w:t>
      </w:r>
    </w:p>
    <w:p w14:paraId="229661C6" w14:textId="77777777" w:rsidR="0022605B" w:rsidRPr="0022605B" w:rsidRDefault="0022605B" w:rsidP="0022605B">
      <w:pPr>
        <w:numPr>
          <w:ilvl w:val="0"/>
          <w:numId w:val="8"/>
        </w:numPr>
      </w:pPr>
      <w:r w:rsidRPr="0022605B">
        <w:rPr>
          <w:b/>
          <w:bCs/>
        </w:rPr>
        <w:t>At Secondary and Tertiary Levels</w:t>
      </w:r>
      <w:r w:rsidRPr="0022605B">
        <w:t>: Quality measures ensure that referred patients receive appropriate, specialized care, maintaining continuity and reducing gaps in service. SHI financing enables equitable access to these services.</w:t>
      </w:r>
    </w:p>
    <w:p w14:paraId="7E31AADD" w14:textId="77777777" w:rsidR="0022605B" w:rsidRPr="0022605B" w:rsidRDefault="0022605B" w:rsidP="0022605B">
      <w:pPr>
        <w:numPr>
          <w:ilvl w:val="0"/>
          <w:numId w:val="8"/>
        </w:numPr>
      </w:pPr>
      <w:r w:rsidRPr="0022605B">
        <w:rPr>
          <w:b/>
          <w:bCs/>
        </w:rPr>
        <w:t>Quality and Efficiency across All Levels</w:t>
      </w:r>
      <w:r w:rsidRPr="0022605B">
        <w:t>: By embedding quality standards, clinical protocols, and SHI-financed incentives, the health system ensures that all providers adhere to high standards, resulting in better health outcomes and a more efficient use of resources.</w:t>
      </w:r>
    </w:p>
    <w:p w14:paraId="5274DA7E" w14:textId="77777777" w:rsidR="0022605B" w:rsidRDefault="0022605B" w:rsidP="0022605B">
      <w:pPr>
        <w:rPr>
          <w:b/>
          <w:bCs/>
        </w:rPr>
      </w:pPr>
      <w:r w:rsidRPr="0022605B">
        <w:rPr>
          <w:b/>
          <w:bCs/>
        </w:rPr>
        <w:t>Summary of Integrated Approach</w:t>
      </w:r>
    </w:p>
    <w:p w14:paraId="06B9F645" w14:textId="77777777" w:rsidR="0022605B" w:rsidRPr="0022605B" w:rsidRDefault="0022605B" w:rsidP="0022605B">
      <w:r w:rsidRPr="0022605B">
        <w:t>Each block complements and supports the GP system and SHI:</w:t>
      </w:r>
    </w:p>
    <w:p w14:paraId="27297522" w14:textId="77777777" w:rsidR="0022605B" w:rsidRPr="0022605B" w:rsidRDefault="0022605B" w:rsidP="0022605B">
      <w:pPr>
        <w:numPr>
          <w:ilvl w:val="0"/>
          <w:numId w:val="5"/>
        </w:numPr>
      </w:pPr>
      <w:r w:rsidRPr="0022605B">
        <w:rPr>
          <w:b/>
          <w:bCs/>
        </w:rPr>
        <w:t>Health Workforce</w:t>
      </w:r>
      <w:r w:rsidRPr="0022605B">
        <w:t>: Ensures a skilled, distributed workforce to deliver primary care and manage financial processes under SHI.</w:t>
      </w:r>
    </w:p>
    <w:p w14:paraId="7C7F5870" w14:textId="77777777" w:rsidR="0022605B" w:rsidRPr="0022605B" w:rsidRDefault="0022605B" w:rsidP="0022605B">
      <w:pPr>
        <w:numPr>
          <w:ilvl w:val="0"/>
          <w:numId w:val="5"/>
        </w:numPr>
      </w:pPr>
      <w:r w:rsidRPr="0022605B">
        <w:rPr>
          <w:b/>
          <w:bCs/>
        </w:rPr>
        <w:t>Health Information Systems</w:t>
      </w:r>
      <w:r w:rsidRPr="0022605B">
        <w:t>: Provides data infrastructure to support care continuity, track patient interactions, and manage SHI finances.</w:t>
      </w:r>
    </w:p>
    <w:p w14:paraId="3C70BEA4" w14:textId="77777777" w:rsidR="0022605B" w:rsidRPr="0022605B" w:rsidRDefault="0022605B" w:rsidP="0022605B">
      <w:pPr>
        <w:numPr>
          <w:ilvl w:val="0"/>
          <w:numId w:val="5"/>
        </w:numPr>
      </w:pPr>
      <w:r w:rsidRPr="0022605B">
        <w:rPr>
          <w:b/>
          <w:bCs/>
        </w:rPr>
        <w:t>Access to Essential Medicines</w:t>
      </w:r>
      <w:r w:rsidRPr="0022605B">
        <w:t>: Ensures availability and affordability of medications at the primary care level, funded through SHI to reduce out-of-pocket costs.</w:t>
      </w:r>
    </w:p>
    <w:p w14:paraId="4C4E8074" w14:textId="77777777" w:rsidR="0022605B" w:rsidRPr="0022605B" w:rsidRDefault="0022605B" w:rsidP="0022605B">
      <w:pPr>
        <w:numPr>
          <w:ilvl w:val="0"/>
          <w:numId w:val="5"/>
        </w:numPr>
      </w:pPr>
      <w:r w:rsidRPr="0022605B">
        <w:rPr>
          <w:b/>
          <w:bCs/>
        </w:rPr>
        <w:t>Leadership &amp; Governance</w:t>
      </w:r>
      <w:r w:rsidRPr="0022605B">
        <w:t>: Sets standards, ensures accountability, and coordinates the GP and SHI systems within the broader health system framework.</w:t>
      </w:r>
    </w:p>
    <w:p w14:paraId="67EEF780" w14:textId="77777777" w:rsidR="0022605B" w:rsidRPr="0022605B" w:rsidRDefault="0022605B" w:rsidP="0022605B">
      <w:pPr>
        <w:numPr>
          <w:ilvl w:val="0"/>
          <w:numId w:val="9"/>
        </w:numPr>
      </w:pPr>
      <w:r w:rsidRPr="0022605B">
        <w:rPr>
          <w:b/>
          <w:bCs/>
        </w:rPr>
        <w:t>Clinical Services</w:t>
      </w:r>
      <w:r w:rsidRPr="0022605B">
        <w:t>: The GP system provides accessible primary care, while SHI ensures that financial barriers do not prevent access to essential clinical services at all levels.</w:t>
      </w:r>
    </w:p>
    <w:p w14:paraId="5599E0A3" w14:textId="77777777" w:rsidR="0022605B" w:rsidRPr="0022605B" w:rsidRDefault="0022605B" w:rsidP="0022605B">
      <w:pPr>
        <w:numPr>
          <w:ilvl w:val="0"/>
          <w:numId w:val="9"/>
        </w:numPr>
      </w:pPr>
      <w:r w:rsidRPr="0022605B">
        <w:rPr>
          <w:b/>
          <w:bCs/>
        </w:rPr>
        <w:t>Quality of Care</w:t>
      </w:r>
      <w:r w:rsidRPr="0022605B">
        <w:t>: Quality standards, continuous professional development, patient-centered practices, and infrastructure investments ensure that care remains consistent, safe, and effective throughout the healthcare journey.</w:t>
      </w:r>
    </w:p>
    <w:p w14:paraId="0B4B9FB7" w14:textId="77777777" w:rsidR="0022605B" w:rsidRPr="0022605B" w:rsidRDefault="0022605B" w:rsidP="0022605B">
      <w:r w:rsidRPr="0022605B">
        <w:t>Together, this integrated approach allows Bangladesh to build a health system where clinical services are accessible, quality of care is consistently high, and financial protection through SHI empowers the population to seek necessary care without the fear of financial hardship.</w:t>
      </w:r>
    </w:p>
    <w:p w14:paraId="6F3AE26E" w14:textId="156A1088" w:rsidR="0022605B" w:rsidRPr="0022605B" w:rsidRDefault="0022605B" w:rsidP="0022605B"/>
    <w:p w14:paraId="190CF29E" w14:textId="77777777" w:rsidR="009D071F" w:rsidRDefault="009D071F"/>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81A70"/>
    <w:multiLevelType w:val="multilevel"/>
    <w:tmpl w:val="E87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4395F"/>
    <w:multiLevelType w:val="multilevel"/>
    <w:tmpl w:val="77300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B0D8C"/>
    <w:multiLevelType w:val="multilevel"/>
    <w:tmpl w:val="AA680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B5192"/>
    <w:multiLevelType w:val="multilevel"/>
    <w:tmpl w:val="2EB07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32BC3"/>
    <w:multiLevelType w:val="multilevel"/>
    <w:tmpl w:val="0686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F083B"/>
    <w:multiLevelType w:val="multilevel"/>
    <w:tmpl w:val="03E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12820"/>
    <w:multiLevelType w:val="multilevel"/>
    <w:tmpl w:val="31B65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B7FA0"/>
    <w:multiLevelType w:val="multilevel"/>
    <w:tmpl w:val="D4007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A42E0"/>
    <w:multiLevelType w:val="multilevel"/>
    <w:tmpl w:val="A8C4F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416416">
    <w:abstractNumId w:val="6"/>
  </w:num>
  <w:num w:numId="2" w16cid:durableId="2073766341">
    <w:abstractNumId w:val="2"/>
  </w:num>
  <w:num w:numId="3" w16cid:durableId="500703576">
    <w:abstractNumId w:val="1"/>
  </w:num>
  <w:num w:numId="4" w16cid:durableId="576985891">
    <w:abstractNumId w:val="8"/>
  </w:num>
  <w:num w:numId="5" w16cid:durableId="1175608688">
    <w:abstractNumId w:val="4"/>
  </w:num>
  <w:num w:numId="6" w16cid:durableId="1786804494">
    <w:abstractNumId w:val="3"/>
  </w:num>
  <w:num w:numId="7" w16cid:durableId="1745951404">
    <w:abstractNumId w:val="7"/>
  </w:num>
  <w:num w:numId="8" w16cid:durableId="527569531">
    <w:abstractNumId w:val="5"/>
  </w:num>
  <w:num w:numId="9" w16cid:durableId="213571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5B"/>
    <w:rsid w:val="0022605B"/>
    <w:rsid w:val="009D071F"/>
    <w:rsid w:val="00B6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DE49"/>
  <w15:chartTrackingRefBased/>
  <w15:docId w15:val="{DF09FF9D-77E2-4F94-8440-5BC4755B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80783">
      <w:bodyDiv w:val="1"/>
      <w:marLeft w:val="0"/>
      <w:marRight w:val="0"/>
      <w:marTop w:val="0"/>
      <w:marBottom w:val="0"/>
      <w:divBdr>
        <w:top w:val="none" w:sz="0" w:space="0" w:color="auto"/>
        <w:left w:val="none" w:sz="0" w:space="0" w:color="auto"/>
        <w:bottom w:val="none" w:sz="0" w:space="0" w:color="auto"/>
        <w:right w:val="none" w:sz="0" w:space="0" w:color="auto"/>
      </w:divBdr>
      <w:divsChild>
        <w:div w:id="1120611406">
          <w:marLeft w:val="0"/>
          <w:marRight w:val="0"/>
          <w:marTop w:val="0"/>
          <w:marBottom w:val="0"/>
          <w:divBdr>
            <w:top w:val="none" w:sz="0" w:space="0" w:color="auto"/>
            <w:left w:val="none" w:sz="0" w:space="0" w:color="auto"/>
            <w:bottom w:val="none" w:sz="0" w:space="0" w:color="auto"/>
            <w:right w:val="none" w:sz="0" w:space="0" w:color="auto"/>
          </w:divBdr>
          <w:divsChild>
            <w:div w:id="1417096964">
              <w:marLeft w:val="0"/>
              <w:marRight w:val="0"/>
              <w:marTop w:val="0"/>
              <w:marBottom w:val="0"/>
              <w:divBdr>
                <w:top w:val="none" w:sz="0" w:space="0" w:color="auto"/>
                <w:left w:val="none" w:sz="0" w:space="0" w:color="auto"/>
                <w:bottom w:val="none" w:sz="0" w:space="0" w:color="auto"/>
                <w:right w:val="none" w:sz="0" w:space="0" w:color="auto"/>
              </w:divBdr>
              <w:divsChild>
                <w:div w:id="177431084">
                  <w:marLeft w:val="0"/>
                  <w:marRight w:val="0"/>
                  <w:marTop w:val="0"/>
                  <w:marBottom w:val="0"/>
                  <w:divBdr>
                    <w:top w:val="none" w:sz="0" w:space="0" w:color="auto"/>
                    <w:left w:val="none" w:sz="0" w:space="0" w:color="auto"/>
                    <w:bottom w:val="none" w:sz="0" w:space="0" w:color="auto"/>
                    <w:right w:val="none" w:sz="0" w:space="0" w:color="auto"/>
                  </w:divBdr>
                  <w:divsChild>
                    <w:div w:id="2048069426">
                      <w:marLeft w:val="0"/>
                      <w:marRight w:val="0"/>
                      <w:marTop w:val="0"/>
                      <w:marBottom w:val="0"/>
                      <w:divBdr>
                        <w:top w:val="none" w:sz="0" w:space="0" w:color="auto"/>
                        <w:left w:val="none" w:sz="0" w:space="0" w:color="auto"/>
                        <w:bottom w:val="none" w:sz="0" w:space="0" w:color="auto"/>
                        <w:right w:val="none" w:sz="0" w:space="0" w:color="auto"/>
                      </w:divBdr>
                      <w:divsChild>
                        <w:div w:id="1309435158">
                          <w:marLeft w:val="0"/>
                          <w:marRight w:val="0"/>
                          <w:marTop w:val="0"/>
                          <w:marBottom w:val="0"/>
                          <w:divBdr>
                            <w:top w:val="none" w:sz="0" w:space="0" w:color="auto"/>
                            <w:left w:val="none" w:sz="0" w:space="0" w:color="auto"/>
                            <w:bottom w:val="none" w:sz="0" w:space="0" w:color="auto"/>
                            <w:right w:val="none" w:sz="0" w:space="0" w:color="auto"/>
                          </w:divBdr>
                          <w:divsChild>
                            <w:div w:id="1649942499">
                              <w:marLeft w:val="0"/>
                              <w:marRight w:val="0"/>
                              <w:marTop w:val="0"/>
                              <w:marBottom w:val="0"/>
                              <w:divBdr>
                                <w:top w:val="none" w:sz="0" w:space="0" w:color="auto"/>
                                <w:left w:val="none" w:sz="0" w:space="0" w:color="auto"/>
                                <w:bottom w:val="none" w:sz="0" w:space="0" w:color="auto"/>
                                <w:right w:val="none" w:sz="0" w:space="0" w:color="auto"/>
                              </w:divBdr>
                              <w:divsChild>
                                <w:div w:id="836654105">
                                  <w:marLeft w:val="0"/>
                                  <w:marRight w:val="0"/>
                                  <w:marTop w:val="0"/>
                                  <w:marBottom w:val="0"/>
                                  <w:divBdr>
                                    <w:top w:val="none" w:sz="0" w:space="0" w:color="auto"/>
                                    <w:left w:val="none" w:sz="0" w:space="0" w:color="auto"/>
                                    <w:bottom w:val="none" w:sz="0" w:space="0" w:color="auto"/>
                                    <w:right w:val="none" w:sz="0" w:space="0" w:color="auto"/>
                                  </w:divBdr>
                                  <w:divsChild>
                                    <w:div w:id="1797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7379">
                          <w:marLeft w:val="0"/>
                          <w:marRight w:val="0"/>
                          <w:marTop w:val="0"/>
                          <w:marBottom w:val="0"/>
                          <w:divBdr>
                            <w:top w:val="none" w:sz="0" w:space="0" w:color="auto"/>
                            <w:left w:val="none" w:sz="0" w:space="0" w:color="auto"/>
                            <w:bottom w:val="none" w:sz="0" w:space="0" w:color="auto"/>
                            <w:right w:val="none" w:sz="0" w:space="0" w:color="auto"/>
                          </w:divBdr>
                          <w:divsChild>
                            <w:div w:id="1408846384">
                              <w:marLeft w:val="0"/>
                              <w:marRight w:val="0"/>
                              <w:marTop w:val="0"/>
                              <w:marBottom w:val="0"/>
                              <w:divBdr>
                                <w:top w:val="none" w:sz="0" w:space="0" w:color="auto"/>
                                <w:left w:val="none" w:sz="0" w:space="0" w:color="auto"/>
                                <w:bottom w:val="none" w:sz="0" w:space="0" w:color="auto"/>
                                <w:right w:val="none" w:sz="0" w:space="0" w:color="auto"/>
                              </w:divBdr>
                              <w:divsChild>
                                <w:div w:id="316348723">
                                  <w:marLeft w:val="0"/>
                                  <w:marRight w:val="0"/>
                                  <w:marTop w:val="0"/>
                                  <w:marBottom w:val="0"/>
                                  <w:divBdr>
                                    <w:top w:val="none" w:sz="0" w:space="0" w:color="auto"/>
                                    <w:left w:val="none" w:sz="0" w:space="0" w:color="auto"/>
                                    <w:bottom w:val="none" w:sz="0" w:space="0" w:color="auto"/>
                                    <w:right w:val="none" w:sz="0" w:space="0" w:color="auto"/>
                                  </w:divBdr>
                                  <w:divsChild>
                                    <w:div w:id="3507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4471">
          <w:marLeft w:val="0"/>
          <w:marRight w:val="0"/>
          <w:marTop w:val="0"/>
          <w:marBottom w:val="0"/>
          <w:divBdr>
            <w:top w:val="none" w:sz="0" w:space="0" w:color="auto"/>
            <w:left w:val="none" w:sz="0" w:space="0" w:color="auto"/>
            <w:bottom w:val="none" w:sz="0" w:space="0" w:color="auto"/>
            <w:right w:val="none" w:sz="0" w:space="0" w:color="auto"/>
          </w:divBdr>
          <w:divsChild>
            <w:div w:id="1372076380">
              <w:marLeft w:val="0"/>
              <w:marRight w:val="0"/>
              <w:marTop w:val="0"/>
              <w:marBottom w:val="0"/>
              <w:divBdr>
                <w:top w:val="none" w:sz="0" w:space="0" w:color="auto"/>
                <w:left w:val="none" w:sz="0" w:space="0" w:color="auto"/>
                <w:bottom w:val="none" w:sz="0" w:space="0" w:color="auto"/>
                <w:right w:val="none" w:sz="0" w:space="0" w:color="auto"/>
              </w:divBdr>
              <w:divsChild>
                <w:div w:id="1436093536">
                  <w:marLeft w:val="0"/>
                  <w:marRight w:val="0"/>
                  <w:marTop w:val="0"/>
                  <w:marBottom w:val="0"/>
                  <w:divBdr>
                    <w:top w:val="none" w:sz="0" w:space="0" w:color="auto"/>
                    <w:left w:val="none" w:sz="0" w:space="0" w:color="auto"/>
                    <w:bottom w:val="none" w:sz="0" w:space="0" w:color="auto"/>
                    <w:right w:val="none" w:sz="0" w:space="0" w:color="auto"/>
                  </w:divBdr>
                  <w:divsChild>
                    <w:div w:id="1895071158">
                      <w:marLeft w:val="0"/>
                      <w:marRight w:val="0"/>
                      <w:marTop w:val="0"/>
                      <w:marBottom w:val="0"/>
                      <w:divBdr>
                        <w:top w:val="none" w:sz="0" w:space="0" w:color="auto"/>
                        <w:left w:val="none" w:sz="0" w:space="0" w:color="auto"/>
                        <w:bottom w:val="none" w:sz="0" w:space="0" w:color="auto"/>
                        <w:right w:val="none" w:sz="0" w:space="0" w:color="auto"/>
                      </w:divBdr>
                      <w:divsChild>
                        <w:div w:id="1044795824">
                          <w:marLeft w:val="0"/>
                          <w:marRight w:val="0"/>
                          <w:marTop w:val="0"/>
                          <w:marBottom w:val="0"/>
                          <w:divBdr>
                            <w:top w:val="none" w:sz="0" w:space="0" w:color="auto"/>
                            <w:left w:val="none" w:sz="0" w:space="0" w:color="auto"/>
                            <w:bottom w:val="none" w:sz="0" w:space="0" w:color="auto"/>
                            <w:right w:val="none" w:sz="0" w:space="0" w:color="auto"/>
                          </w:divBdr>
                          <w:divsChild>
                            <w:div w:id="26299255">
                              <w:marLeft w:val="0"/>
                              <w:marRight w:val="0"/>
                              <w:marTop w:val="0"/>
                              <w:marBottom w:val="0"/>
                              <w:divBdr>
                                <w:top w:val="none" w:sz="0" w:space="0" w:color="auto"/>
                                <w:left w:val="none" w:sz="0" w:space="0" w:color="auto"/>
                                <w:bottom w:val="none" w:sz="0" w:space="0" w:color="auto"/>
                                <w:right w:val="none" w:sz="0" w:space="0" w:color="auto"/>
                              </w:divBdr>
                              <w:divsChild>
                                <w:div w:id="1801610928">
                                  <w:marLeft w:val="0"/>
                                  <w:marRight w:val="0"/>
                                  <w:marTop w:val="0"/>
                                  <w:marBottom w:val="0"/>
                                  <w:divBdr>
                                    <w:top w:val="none" w:sz="0" w:space="0" w:color="auto"/>
                                    <w:left w:val="none" w:sz="0" w:space="0" w:color="auto"/>
                                    <w:bottom w:val="none" w:sz="0" w:space="0" w:color="auto"/>
                                    <w:right w:val="none" w:sz="0" w:space="0" w:color="auto"/>
                                  </w:divBdr>
                                  <w:divsChild>
                                    <w:div w:id="1302535566">
                                      <w:marLeft w:val="0"/>
                                      <w:marRight w:val="0"/>
                                      <w:marTop w:val="0"/>
                                      <w:marBottom w:val="0"/>
                                      <w:divBdr>
                                        <w:top w:val="none" w:sz="0" w:space="0" w:color="auto"/>
                                        <w:left w:val="none" w:sz="0" w:space="0" w:color="auto"/>
                                        <w:bottom w:val="none" w:sz="0" w:space="0" w:color="auto"/>
                                        <w:right w:val="none" w:sz="0" w:space="0" w:color="auto"/>
                                      </w:divBdr>
                                      <w:divsChild>
                                        <w:div w:id="10082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319566">
          <w:marLeft w:val="0"/>
          <w:marRight w:val="0"/>
          <w:marTop w:val="0"/>
          <w:marBottom w:val="0"/>
          <w:divBdr>
            <w:top w:val="none" w:sz="0" w:space="0" w:color="auto"/>
            <w:left w:val="none" w:sz="0" w:space="0" w:color="auto"/>
            <w:bottom w:val="none" w:sz="0" w:space="0" w:color="auto"/>
            <w:right w:val="none" w:sz="0" w:space="0" w:color="auto"/>
          </w:divBdr>
          <w:divsChild>
            <w:div w:id="1328897804">
              <w:marLeft w:val="0"/>
              <w:marRight w:val="0"/>
              <w:marTop w:val="0"/>
              <w:marBottom w:val="0"/>
              <w:divBdr>
                <w:top w:val="none" w:sz="0" w:space="0" w:color="auto"/>
                <w:left w:val="none" w:sz="0" w:space="0" w:color="auto"/>
                <w:bottom w:val="none" w:sz="0" w:space="0" w:color="auto"/>
                <w:right w:val="none" w:sz="0" w:space="0" w:color="auto"/>
              </w:divBdr>
              <w:divsChild>
                <w:div w:id="1948074557">
                  <w:marLeft w:val="0"/>
                  <w:marRight w:val="0"/>
                  <w:marTop w:val="0"/>
                  <w:marBottom w:val="0"/>
                  <w:divBdr>
                    <w:top w:val="none" w:sz="0" w:space="0" w:color="auto"/>
                    <w:left w:val="none" w:sz="0" w:space="0" w:color="auto"/>
                    <w:bottom w:val="none" w:sz="0" w:space="0" w:color="auto"/>
                    <w:right w:val="none" w:sz="0" w:space="0" w:color="auto"/>
                  </w:divBdr>
                  <w:divsChild>
                    <w:div w:id="643892337">
                      <w:marLeft w:val="0"/>
                      <w:marRight w:val="0"/>
                      <w:marTop w:val="0"/>
                      <w:marBottom w:val="0"/>
                      <w:divBdr>
                        <w:top w:val="none" w:sz="0" w:space="0" w:color="auto"/>
                        <w:left w:val="none" w:sz="0" w:space="0" w:color="auto"/>
                        <w:bottom w:val="none" w:sz="0" w:space="0" w:color="auto"/>
                        <w:right w:val="none" w:sz="0" w:space="0" w:color="auto"/>
                      </w:divBdr>
                      <w:divsChild>
                        <w:div w:id="1684277980">
                          <w:marLeft w:val="0"/>
                          <w:marRight w:val="0"/>
                          <w:marTop w:val="0"/>
                          <w:marBottom w:val="0"/>
                          <w:divBdr>
                            <w:top w:val="none" w:sz="0" w:space="0" w:color="auto"/>
                            <w:left w:val="none" w:sz="0" w:space="0" w:color="auto"/>
                            <w:bottom w:val="none" w:sz="0" w:space="0" w:color="auto"/>
                            <w:right w:val="none" w:sz="0" w:space="0" w:color="auto"/>
                          </w:divBdr>
                          <w:divsChild>
                            <w:div w:id="704722510">
                              <w:marLeft w:val="0"/>
                              <w:marRight w:val="0"/>
                              <w:marTop w:val="0"/>
                              <w:marBottom w:val="0"/>
                              <w:divBdr>
                                <w:top w:val="none" w:sz="0" w:space="0" w:color="auto"/>
                                <w:left w:val="none" w:sz="0" w:space="0" w:color="auto"/>
                                <w:bottom w:val="none" w:sz="0" w:space="0" w:color="auto"/>
                                <w:right w:val="none" w:sz="0" w:space="0" w:color="auto"/>
                              </w:divBdr>
                              <w:divsChild>
                                <w:div w:id="10272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11869">
                  <w:marLeft w:val="0"/>
                  <w:marRight w:val="0"/>
                  <w:marTop w:val="0"/>
                  <w:marBottom w:val="0"/>
                  <w:divBdr>
                    <w:top w:val="none" w:sz="0" w:space="0" w:color="auto"/>
                    <w:left w:val="none" w:sz="0" w:space="0" w:color="auto"/>
                    <w:bottom w:val="none" w:sz="0" w:space="0" w:color="auto"/>
                    <w:right w:val="none" w:sz="0" w:space="0" w:color="auto"/>
                  </w:divBdr>
                  <w:divsChild>
                    <w:div w:id="78329702">
                      <w:marLeft w:val="0"/>
                      <w:marRight w:val="0"/>
                      <w:marTop w:val="0"/>
                      <w:marBottom w:val="0"/>
                      <w:divBdr>
                        <w:top w:val="none" w:sz="0" w:space="0" w:color="auto"/>
                        <w:left w:val="none" w:sz="0" w:space="0" w:color="auto"/>
                        <w:bottom w:val="none" w:sz="0" w:space="0" w:color="auto"/>
                        <w:right w:val="none" w:sz="0" w:space="0" w:color="auto"/>
                      </w:divBdr>
                      <w:divsChild>
                        <w:div w:id="1934629752">
                          <w:marLeft w:val="0"/>
                          <w:marRight w:val="0"/>
                          <w:marTop w:val="0"/>
                          <w:marBottom w:val="0"/>
                          <w:divBdr>
                            <w:top w:val="none" w:sz="0" w:space="0" w:color="auto"/>
                            <w:left w:val="none" w:sz="0" w:space="0" w:color="auto"/>
                            <w:bottom w:val="none" w:sz="0" w:space="0" w:color="auto"/>
                            <w:right w:val="none" w:sz="0" w:space="0" w:color="auto"/>
                          </w:divBdr>
                          <w:divsChild>
                            <w:div w:id="1394738096">
                              <w:marLeft w:val="0"/>
                              <w:marRight w:val="0"/>
                              <w:marTop w:val="0"/>
                              <w:marBottom w:val="0"/>
                              <w:divBdr>
                                <w:top w:val="none" w:sz="0" w:space="0" w:color="auto"/>
                                <w:left w:val="none" w:sz="0" w:space="0" w:color="auto"/>
                                <w:bottom w:val="none" w:sz="0" w:space="0" w:color="auto"/>
                                <w:right w:val="none" w:sz="0" w:space="0" w:color="auto"/>
                              </w:divBdr>
                              <w:divsChild>
                                <w:div w:id="1728916578">
                                  <w:marLeft w:val="0"/>
                                  <w:marRight w:val="0"/>
                                  <w:marTop w:val="0"/>
                                  <w:marBottom w:val="0"/>
                                  <w:divBdr>
                                    <w:top w:val="none" w:sz="0" w:space="0" w:color="auto"/>
                                    <w:left w:val="none" w:sz="0" w:space="0" w:color="auto"/>
                                    <w:bottom w:val="none" w:sz="0" w:space="0" w:color="auto"/>
                                    <w:right w:val="none" w:sz="0" w:space="0" w:color="auto"/>
                                  </w:divBdr>
                                  <w:divsChild>
                                    <w:div w:id="11181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20932">
                          <w:marLeft w:val="0"/>
                          <w:marRight w:val="0"/>
                          <w:marTop w:val="0"/>
                          <w:marBottom w:val="0"/>
                          <w:divBdr>
                            <w:top w:val="none" w:sz="0" w:space="0" w:color="auto"/>
                            <w:left w:val="none" w:sz="0" w:space="0" w:color="auto"/>
                            <w:bottom w:val="none" w:sz="0" w:space="0" w:color="auto"/>
                            <w:right w:val="none" w:sz="0" w:space="0" w:color="auto"/>
                          </w:divBdr>
                          <w:divsChild>
                            <w:div w:id="1679305065">
                              <w:marLeft w:val="0"/>
                              <w:marRight w:val="0"/>
                              <w:marTop w:val="0"/>
                              <w:marBottom w:val="0"/>
                              <w:divBdr>
                                <w:top w:val="none" w:sz="0" w:space="0" w:color="auto"/>
                                <w:left w:val="none" w:sz="0" w:space="0" w:color="auto"/>
                                <w:bottom w:val="none" w:sz="0" w:space="0" w:color="auto"/>
                                <w:right w:val="none" w:sz="0" w:space="0" w:color="auto"/>
                              </w:divBdr>
                              <w:divsChild>
                                <w:div w:id="753163340">
                                  <w:marLeft w:val="0"/>
                                  <w:marRight w:val="0"/>
                                  <w:marTop w:val="0"/>
                                  <w:marBottom w:val="0"/>
                                  <w:divBdr>
                                    <w:top w:val="none" w:sz="0" w:space="0" w:color="auto"/>
                                    <w:left w:val="none" w:sz="0" w:space="0" w:color="auto"/>
                                    <w:bottom w:val="none" w:sz="0" w:space="0" w:color="auto"/>
                                    <w:right w:val="none" w:sz="0" w:space="0" w:color="auto"/>
                                  </w:divBdr>
                                  <w:divsChild>
                                    <w:div w:id="16336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075193">
      <w:bodyDiv w:val="1"/>
      <w:marLeft w:val="0"/>
      <w:marRight w:val="0"/>
      <w:marTop w:val="0"/>
      <w:marBottom w:val="0"/>
      <w:divBdr>
        <w:top w:val="none" w:sz="0" w:space="0" w:color="auto"/>
        <w:left w:val="none" w:sz="0" w:space="0" w:color="auto"/>
        <w:bottom w:val="none" w:sz="0" w:space="0" w:color="auto"/>
        <w:right w:val="none" w:sz="0" w:space="0" w:color="auto"/>
      </w:divBdr>
      <w:divsChild>
        <w:div w:id="1240142352">
          <w:marLeft w:val="0"/>
          <w:marRight w:val="0"/>
          <w:marTop w:val="0"/>
          <w:marBottom w:val="0"/>
          <w:divBdr>
            <w:top w:val="none" w:sz="0" w:space="0" w:color="auto"/>
            <w:left w:val="none" w:sz="0" w:space="0" w:color="auto"/>
            <w:bottom w:val="none" w:sz="0" w:space="0" w:color="auto"/>
            <w:right w:val="none" w:sz="0" w:space="0" w:color="auto"/>
          </w:divBdr>
          <w:divsChild>
            <w:div w:id="577642276">
              <w:marLeft w:val="0"/>
              <w:marRight w:val="0"/>
              <w:marTop w:val="0"/>
              <w:marBottom w:val="0"/>
              <w:divBdr>
                <w:top w:val="none" w:sz="0" w:space="0" w:color="auto"/>
                <w:left w:val="none" w:sz="0" w:space="0" w:color="auto"/>
                <w:bottom w:val="none" w:sz="0" w:space="0" w:color="auto"/>
                <w:right w:val="none" w:sz="0" w:space="0" w:color="auto"/>
              </w:divBdr>
              <w:divsChild>
                <w:div w:id="854805610">
                  <w:marLeft w:val="0"/>
                  <w:marRight w:val="0"/>
                  <w:marTop w:val="0"/>
                  <w:marBottom w:val="0"/>
                  <w:divBdr>
                    <w:top w:val="none" w:sz="0" w:space="0" w:color="auto"/>
                    <w:left w:val="none" w:sz="0" w:space="0" w:color="auto"/>
                    <w:bottom w:val="none" w:sz="0" w:space="0" w:color="auto"/>
                    <w:right w:val="none" w:sz="0" w:space="0" w:color="auto"/>
                  </w:divBdr>
                  <w:divsChild>
                    <w:div w:id="85466495">
                      <w:marLeft w:val="0"/>
                      <w:marRight w:val="0"/>
                      <w:marTop w:val="0"/>
                      <w:marBottom w:val="0"/>
                      <w:divBdr>
                        <w:top w:val="none" w:sz="0" w:space="0" w:color="auto"/>
                        <w:left w:val="none" w:sz="0" w:space="0" w:color="auto"/>
                        <w:bottom w:val="none" w:sz="0" w:space="0" w:color="auto"/>
                        <w:right w:val="none" w:sz="0" w:space="0" w:color="auto"/>
                      </w:divBdr>
                      <w:divsChild>
                        <w:div w:id="2082680053">
                          <w:marLeft w:val="0"/>
                          <w:marRight w:val="0"/>
                          <w:marTop w:val="0"/>
                          <w:marBottom w:val="0"/>
                          <w:divBdr>
                            <w:top w:val="none" w:sz="0" w:space="0" w:color="auto"/>
                            <w:left w:val="none" w:sz="0" w:space="0" w:color="auto"/>
                            <w:bottom w:val="none" w:sz="0" w:space="0" w:color="auto"/>
                            <w:right w:val="none" w:sz="0" w:space="0" w:color="auto"/>
                          </w:divBdr>
                          <w:divsChild>
                            <w:div w:id="234323797">
                              <w:marLeft w:val="0"/>
                              <w:marRight w:val="0"/>
                              <w:marTop w:val="0"/>
                              <w:marBottom w:val="0"/>
                              <w:divBdr>
                                <w:top w:val="none" w:sz="0" w:space="0" w:color="auto"/>
                                <w:left w:val="none" w:sz="0" w:space="0" w:color="auto"/>
                                <w:bottom w:val="none" w:sz="0" w:space="0" w:color="auto"/>
                                <w:right w:val="none" w:sz="0" w:space="0" w:color="auto"/>
                              </w:divBdr>
                              <w:divsChild>
                                <w:div w:id="1049838133">
                                  <w:marLeft w:val="0"/>
                                  <w:marRight w:val="0"/>
                                  <w:marTop w:val="0"/>
                                  <w:marBottom w:val="0"/>
                                  <w:divBdr>
                                    <w:top w:val="none" w:sz="0" w:space="0" w:color="auto"/>
                                    <w:left w:val="none" w:sz="0" w:space="0" w:color="auto"/>
                                    <w:bottom w:val="none" w:sz="0" w:space="0" w:color="auto"/>
                                    <w:right w:val="none" w:sz="0" w:space="0" w:color="auto"/>
                                  </w:divBdr>
                                  <w:divsChild>
                                    <w:div w:id="17668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3155">
                          <w:marLeft w:val="0"/>
                          <w:marRight w:val="0"/>
                          <w:marTop w:val="0"/>
                          <w:marBottom w:val="0"/>
                          <w:divBdr>
                            <w:top w:val="none" w:sz="0" w:space="0" w:color="auto"/>
                            <w:left w:val="none" w:sz="0" w:space="0" w:color="auto"/>
                            <w:bottom w:val="none" w:sz="0" w:space="0" w:color="auto"/>
                            <w:right w:val="none" w:sz="0" w:space="0" w:color="auto"/>
                          </w:divBdr>
                          <w:divsChild>
                            <w:div w:id="2024896058">
                              <w:marLeft w:val="0"/>
                              <w:marRight w:val="0"/>
                              <w:marTop w:val="0"/>
                              <w:marBottom w:val="0"/>
                              <w:divBdr>
                                <w:top w:val="none" w:sz="0" w:space="0" w:color="auto"/>
                                <w:left w:val="none" w:sz="0" w:space="0" w:color="auto"/>
                                <w:bottom w:val="none" w:sz="0" w:space="0" w:color="auto"/>
                                <w:right w:val="none" w:sz="0" w:space="0" w:color="auto"/>
                              </w:divBdr>
                              <w:divsChild>
                                <w:div w:id="2016571223">
                                  <w:marLeft w:val="0"/>
                                  <w:marRight w:val="0"/>
                                  <w:marTop w:val="0"/>
                                  <w:marBottom w:val="0"/>
                                  <w:divBdr>
                                    <w:top w:val="none" w:sz="0" w:space="0" w:color="auto"/>
                                    <w:left w:val="none" w:sz="0" w:space="0" w:color="auto"/>
                                    <w:bottom w:val="none" w:sz="0" w:space="0" w:color="auto"/>
                                    <w:right w:val="none" w:sz="0" w:space="0" w:color="auto"/>
                                  </w:divBdr>
                                  <w:divsChild>
                                    <w:div w:id="1118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96055">
          <w:marLeft w:val="0"/>
          <w:marRight w:val="0"/>
          <w:marTop w:val="0"/>
          <w:marBottom w:val="0"/>
          <w:divBdr>
            <w:top w:val="none" w:sz="0" w:space="0" w:color="auto"/>
            <w:left w:val="none" w:sz="0" w:space="0" w:color="auto"/>
            <w:bottom w:val="none" w:sz="0" w:space="0" w:color="auto"/>
            <w:right w:val="none" w:sz="0" w:space="0" w:color="auto"/>
          </w:divBdr>
          <w:divsChild>
            <w:div w:id="1971201981">
              <w:marLeft w:val="0"/>
              <w:marRight w:val="0"/>
              <w:marTop w:val="0"/>
              <w:marBottom w:val="0"/>
              <w:divBdr>
                <w:top w:val="none" w:sz="0" w:space="0" w:color="auto"/>
                <w:left w:val="none" w:sz="0" w:space="0" w:color="auto"/>
                <w:bottom w:val="none" w:sz="0" w:space="0" w:color="auto"/>
                <w:right w:val="none" w:sz="0" w:space="0" w:color="auto"/>
              </w:divBdr>
              <w:divsChild>
                <w:div w:id="498237122">
                  <w:marLeft w:val="0"/>
                  <w:marRight w:val="0"/>
                  <w:marTop w:val="0"/>
                  <w:marBottom w:val="0"/>
                  <w:divBdr>
                    <w:top w:val="none" w:sz="0" w:space="0" w:color="auto"/>
                    <w:left w:val="none" w:sz="0" w:space="0" w:color="auto"/>
                    <w:bottom w:val="none" w:sz="0" w:space="0" w:color="auto"/>
                    <w:right w:val="none" w:sz="0" w:space="0" w:color="auto"/>
                  </w:divBdr>
                  <w:divsChild>
                    <w:div w:id="1223251601">
                      <w:marLeft w:val="0"/>
                      <w:marRight w:val="0"/>
                      <w:marTop w:val="0"/>
                      <w:marBottom w:val="0"/>
                      <w:divBdr>
                        <w:top w:val="none" w:sz="0" w:space="0" w:color="auto"/>
                        <w:left w:val="none" w:sz="0" w:space="0" w:color="auto"/>
                        <w:bottom w:val="none" w:sz="0" w:space="0" w:color="auto"/>
                        <w:right w:val="none" w:sz="0" w:space="0" w:color="auto"/>
                      </w:divBdr>
                      <w:divsChild>
                        <w:div w:id="1108088395">
                          <w:marLeft w:val="0"/>
                          <w:marRight w:val="0"/>
                          <w:marTop w:val="0"/>
                          <w:marBottom w:val="0"/>
                          <w:divBdr>
                            <w:top w:val="none" w:sz="0" w:space="0" w:color="auto"/>
                            <w:left w:val="none" w:sz="0" w:space="0" w:color="auto"/>
                            <w:bottom w:val="none" w:sz="0" w:space="0" w:color="auto"/>
                            <w:right w:val="none" w:sz="0" w:space="0" w:color="auto"/>
                          </w:divBdr>
                          <w:divsChild>
                            <w:div w:id="694424035">
                              <w:marLeft w:val="0"/>
                              <w:marRight w:val="0"/>
                              <w:marTop w:val="0"/>
                              <w:marBottom w:val="0"/>
                              <w:divBdr>
                                <w:top w:val="none" w:sz="0" w:space="0" w:color="auto"/>
                                <w:left w:val="none" w:sz="0" w:space="0" w:color="auto"/>
                                <w:bottom w:val="none" w:sz="0" w:space="0" w:color="auto"/>
                                <w:right w:val="none" w:sz="0" w:space="0" w:color="auto"/>
                              </w:divBdr>
                              <w:divsChild>
                                <w:div w:id="1350252912">
                                  <w:marLeft w:val="0"/>
                                  <w:marRight w:val="0"/>
                                  <w:marTop w:val="0"/>
                                  <w:marBottom w:val="0"/>
                                  <w:divBdr>
                                    <w:top w:val="none" w:sz="0" w:space="0" w:color="auto"/>
                                    <w:left w:val="none" w:sz="0" w:space="0" w:color="auto"/>
                                    <w:bottom w:val="none" w:sz="0" w:space="0" w:color="auto"/>
                                    <w:right w:val="none" w:sz="0" w:space="0" w:color="auto"/>
                                  </w:divBdr>
                                  <w:divsChild>
                                    <w:div w:id="1533761537">
                                      <w:marLeft w:val="0"/>
                                      <w:marRight w:val="0"/>
                                      <w:marTop w:val="0"/>
                                      <w:marBottom w:val="0"/>
                                      <w:divBdr>
                                        <w:top w:val="none" w:sz="0" w:space="0" w:color="auto"/>
                                        <w:left w:val="none" w:sz="0" w:space="0" w:color="auto"/>
                                        <w:bottom w:val="none" w:sz="0" w:space="0" w:color="auto"/>
                                        <w:right w:val="none" w:sz="0" w:space="0" w:color="auto"/>
                                      </w:divBdr>
                                      <w:divsChild>
                                        <w:div w:id="18919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1825">
          <w:marLeft w:val="0"/>
          <w:marRight w:val="0"/>
          <w:marTop w:val="0"/>
          <w:marBottom w:val="0"/>
          <w:divBdr>
            <w:top w:val="none" w:sz="0" w:space="0" w:color="auto"/>
            <w:left w:val="none" w:sz="0" w:space="0" w:color="auto"/>
            <w:bottom w:val="none" w:sz="0" w:space="0" w:color="auto"/>
            <w:right w:val="none" w:sz="0" w:space="0" w:color="auto"/>
          </w:divBdr>
          <w:divsChild>
            <w:div w:id="1227451833">
              <w:marLeft w:val="0"/>
              <w:marRight w:val="0"/>
              <w:marTop w:val="0"/>
              <w:marBottom w:val="0"/>
              <w:divBdr>
                <w:top w:val="none" w:sz="0" w:space="0" w:color="auto"/>
                <w:left w:val="none" w:sz="0" w:space="0" w:color="auto"/>
                <w:bottom w:val="none" w:sz="0" w:space="0" w:color="auto"/>
                <w:right w:val="none" w:sz="0" w:space="0" w:color="auto"/>
              </w:divBdr>
              <w:divsChild>
                <w:div w:id="827327395">
                  <w:marLeft w:val="0"/>
                  <w:marRight w:val="0"/>
                  <w:marTop w:val="0"/>
                  <w:marBottom w:val="0"/>
                  <w:divBdr>
                    <w:top w:val="none" w:sz="0" w:space="0" w:color="auto"/>
                    <w:left w:val="none" w:sz="0" w:space="0" w:color="auto"/>
                    <w:bottom w:val="none" w:sz="0" w:space="0" w:color="auto"/>
                    <w:right w:val="none" w:sz="0" w:space="0" w:color="auto"/>
                  </w:divBdr>
                  <w:divsChild>
                    <w:div w:id="494800875">
                      <w:marLeft w:val="0"/>
                      <w:marRight w:val="0"/>
                      <w:marTop w:val="0"/>
                      <w:marBottom w:val="0"/>
                      <w:divBdr>
                        <w:top w:val="none" w:sz="0" w:space="0" w:color="auto"/>
                        <w:left w:val="none" w:sz="0" w:space="0" w:color="auto"/>
                        <w:bottom w:val="none" w:sz="0" w:space="0" w:color="auto"/>
                        <w:right w:val="none" w:sz="0" w:space="0" w:color="auto"/>
                      </w:divBdr>
                      <w:divsChild>
                        <w:div w:id="969287059">
                          <w:marLeft w:val="0"/>
                          <w:marRight w:val="0"/>
                          <w:marTop w:val="0"/>
                          <w:marBottom w:val="0"/>
                          <w:divBdr>
                            <w:top w:val="none" w:sz="0" w:space="0" w:color="auto"/>
                            <w:left w:val="none" w:sz="0" w:space="0" w:color="auto"/>
                            <w:bottom w:val="none" w:sz="0" w:space="0" w:color="auto"/>
                            <w:right w:val="none" w:sz="0" w:space="0" w:color="auto"/>
                          </w:divBdr>
                          <w:divsChild>
                            <w:div w:id="153377229">
                              <w:marLeft w:val="0"/>
                              <w:marRight w:val="0"/>
                              <w:marTop w:val="0"/>
                              <w:marBottom w:val="0"/>
                              <w:divBdr>
                                <w:top w:val="none" w:sz="0" w:space="0" w:color="auto"/>
                                <w:left w:val="none" w:sz="0" w:space="0" w:color="auto"/>
                                <w:bottom w:val="none" w:sz="0" w:space="0" w:color="auto"/>
                                <w:right w:val="none" w:sz="0" w:space="0" w:color="auto"/>
                              </w:divBdr>
                              <w:divsChild>
                                <w:div w:id="1606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820">
                  <w:marLeft w:val="0"/>
                  <w:marRight w:val="0"/>
                  <w:marTop w:val="0"/>
                  <w:marBottom w:val="0"/>
                  <w:divBdr>
                    <w:top w:val="none" w:sz="0" w:space="0" w:color="auto"/>
                    <w:left w:val="none" w:sz="0" w:space="0" w:color="auto"/>
                    <w:bottom w:val="none" w:sz="0" w:space="0" w:color="auto"/>
                    <w:right w:val="none" w:sz="0" w:space="0" w:color="auto"/>
                  </w:divBdr>
                  <w:divsChild>
                    <w:div w:id="898519797">
                      <w:marLeft w:val="0"/>
                      <w:marRight w:val="0"/>
                      <w:marTop w:val="0"/>
                      <w:marBottom w:val="0"/>
                      <w:divBdr>
                        <w:top w:val="none" w:sz="0" w:space="0" w:color="auto"/>
                        <w:left w:val="none" w:sz="0" w:space="0" w:color="auto"/>
                        <w:bottom w:val="none" w:sz="0" w:space="0" w:color="auto"/>
                        <w:right w:val="none" w:sz="0" w:space="0" w:color="auto"/>
                      </w:divBdr>
                      <w:divsChild>
                        <w:div w:id="1802575866">
                          <w:marLeft w:val="0"/>
                          <w:marRight w:val="0"/>
                          <w:marTop w:val="0"/>
                          <w:marBottom w:val="0"/>
                          <w:divBdr>
                            <w:top w:val="none" w:sz="0" w:space="0" w:color="auto"/>
                            <w:left w:val="none" w:sz="0" w:space="0" w:color="auto"/>
                            <w:bottom w:val="none" w:sz="0" w:space="0" w:color="auto"/>
                            <w:right w:val="none" w:sz="0" w:space="0" w:color="auto"/>
                          </w:divBdr>
                          <w:divsChild>
                            <w:div w:id="77755446">
                              <w:marLeft w:val="0"/>
                              <w:marRight w:val="0"/>
                              <w:marTop w:val="0"/>
                              <w:marBottom w:val="0"/>
                              <w:divBdr>
                                <w:top w:val="none" w:sz="0" w:space="0" w:color="auto"/>
                                <w:left w:val="none" w:sz="0" w:space="0" w:color="auto"/>
                                <w:bottom w:val="none" w:sz="0" w:space="0" w:color="auto"/>
                                <w:right w:val="none" w:sz="0" w:space="0" w:color="auto"/>
                              </w:divBdr>
                              <w:divsChild>
                                <w:div w:id="495539346">
                                  <w:marLeft w:val="0"/>
                                  <w:marRight w:val="0"/>
                                  <w:marTop w:val="0"/>
                                  <w:marBottom w:val="0"/>
                                  <w:divBdr>
                                    <w:top w:val="none" w:sz="0" w:space="0" w:color="auto"/>
                                    <w:left w:val="none" w:sz="0" w:space="0" w:color="auto"/>
                                    <w:bottom w:val="none" w:sz="0" w:space="0" w:color="auto"/>
                                    <w:right w:val="none" w:sz="0" w:space="0" w:color="auto"/>
                                  </w:divBdr>
                                  <w:divsChild>
                                    <w:div w:id="13741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0903">
                          <w:marLeft w:val="0"/>
                          <w:marRight w:val="0"/>
                          <w:marTop w:val="0"/>
                          <w:marBottom w:val="0"/>
                          <w:divBdr>
                            <w:top w:val="none" w:sz="0" w:space="0" w:color="auto"/>
                            <w:left w:val="none" w:sz="0" w:space="0" w:color="auto"/>
                            <w:bottom w:val="none" w:sz="0" w:space="0" w:color="auto"/>
                            <w:right w:val="none" w:sz="0" w:space="0" w:color="auto"/>
                          </w:divBdr>
                          <w:divsChild>
                            <w:div w:id="463735669">
                              <w:marLeft w:val="0"/>
                              <w:marRight w:val="0"/>
                              <w:marTop w:val="0"/>
                              <w:marBottom w:val="0"/>
                              <w:divBdr>
                                <w:top w:val="none" w:sz="0" w:space="0" w:color="auto"/>
                                <w:left w:val="none" w:sz="0" w:space="0" w:color="auto"/>
                                <w:bottom w:val="none" w:sz="0" w:space="0" w:color="auto"/>
                                <w:right w:val="none" w:sz="0" w:space="0" w:color="auto"/>
                              </w:divBdr>
                              <w:divsChild>
                                <w:div w:id="466169710">
                                  <w:marLeft w:val="0"/>
                                  <w:marRight w:val="0"/>
                                  <w:marTop w:val="0"/>
                                  <w:marBottom w:val="0"/>
                                  <w:divBdr>
                                    <w:top w:val="none" w:sz="0" w:space="0" w:color="auto"/>
                                    <w:left w:val="none" w:sz="0" w:space="0" w:color="auto"/>
                                    <w:bottom w:val="none" w:sz="0" w:space="0" w:color="auto"/>
                                    <w:right w:val="none" w:sz="0" w:space="0" w:color="auto"/>
                                  </w:divBdr>
                                  <w:divsChild>
                                    <w:div w:id="1215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1</cp:revision>
  <dcterms:created xsi:type="dcterms:W3CDTF">2024-11-14T11:16:00Z</dcterms:created>
  <dcterms:modified xsi:type="dcterms:W3CDTF">2024-11-14T11:19:00Z</dcterms:modified>
</cp:coreProperties>
</file>